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851"/>
          <w:tab w:val="right" w:pos="9072"/>
        </w:tabs>
        <w:ind w:right="963"/>
      </w:pPr>
    </w:p>
    <w:p w:rsidR="002A60C8" w:rsidRDefault="002A60C8" w:rsidP="002A60C8">
      <w:pPr>
        <w:tabs>
          <w:tab w:val="left" w:pos="1418"/>
          <w:tab w:val="right" w:pos="9639"/>
        </w:tabs>
      </w:pPr>
      <w:r>
        <w:rPr>
          <w:u w:val="single"/>
        </w:rPr>
        <w:t>Aktenzeichen:</w:t>
      </w:r>
      <w:r>
        <w:rPr>
          <w:u w:val="single"/>
        </w:rPr>
        <w:tab/>
      </w:r>
      <w:r w:rsidRPr="00B1180B">
        <w:rPr>
          <w:noProof/>
        </w:rPr>
        <w:t>131-</w:t>
      </w:r>
      <w:r>
        <w:rPr>
          <w:noProof/>
        </w:rPr>
        <w:t>4</w:t>
      </w:r>
      <w:r>
        <w:tab/>
        <w:t>, am 17.02</w:t>
      </w:r>
      <w:r>
        <w:rPr>
          <w:noProof/>
        </w:rPr>
        <w:t>.2015</w:t>
      </w:r>
    </w:p>
    <w:p w:rsidR="002A60C8" w:rsidRDefault="002A60C8" w:rsidP="002A60C8">
      <w:pPr>
        <w:pStyle w:val="StandardGrund"/>
        <w:tabs>
          <w:tab w:val="clear" w:pos="4537"/>
          <w:tab w:val="clear" w:pos="8505"/>
          <w:tab w:val="left" w:pos="1418"/>
        </w:tabs>
        <w:jc w:val="left"/>
      </w:pPr>
    </w:p>
    <w:p w:rsidR="002A60C8" w:rsidRDefault="002A60C8" w:rsidP="002A60C8">
      <w:pPr>
        <w:pStyle w:val="StandardGrund"/>
        <w:tabs>
          <w:tab w:val="clear" w:pos="4537"/>
          <w:tab w:val="clear" w:pos="8505"/>
          <w:tab w:val="left" w:pos="1418"/>
        </w:tabs>
        <w:jc w:val="left"/>
      </w:pPr>
    </w:p>
    <w:p w:rsidR="002A60C8" w:rsidRDefault="002A60C8" w:rsidP="002A60C8">
      <w:pPr>
        <w:ind w:left="1276" w:hanging="1418"/>
        <w:jc w:val="both"/>
        <w:rPr>
          <w:b/>
        </w:rPr>
      </w:pPr>
      <w:r>
        <w:rPr>
          <w:u w:val="single"/>
        </w:rPr>
        <w:t>Betrifft:</w:t>
      </w:r>
      <w:r>
        <w:tab/>
      </w:r>
      <w:r>
        <w:rPr>
          <w:rFonts w:cs="Arial"/>
          <w:b/>
          <w:szCs w:val="22"/>
        </w:rPr>
        <w:t>XY GmbH, Musterstraße, Musterort</w:t>
      </w:r>
    </w:p>
    <w:p w:rsidR="002A60C8" w:rsidRPr="0059252A" w:rsidRDefault="002A60C8" w:rsidP="002A60C8">
      <w:pPr>
        <w:ind w:left="1276" w:right="963"/>
        <w:jc w:val="both"/>
        <w:rPr>
          <w:b/>
          <w:bCs/>
          <w:u w:val="single"/>
        </w:rPr>
      </w:pPr>
      <w:r w:rsidRPr="0059252A">
        <w:rPr>
          <w:b/>
          <w:bCs/>
          <w:u w:val="single"/>
        </w:rPr>
        <w:t>Feuerbeschau 201</w:t>
      </w:r>
      <w:r>
        <w:rPr>
          <w:b/>
          <w:bCs/>
          <w:u w:val="single"/>
        </w:rPr>
        <w:t>5</w:t>
      </w:r>
      <w:r w:rsidRPr="0059252A">
        <w:rPr>
          <w:b/>
          <w:bCs/>
          <w:u w:val="single"/>
        </w:rPr>
        <w:t xml:space="preserve"> - </w:t>
      </w:r>
      <w:r w:rsidRPr="0059252A">
        <w:rPr>
          <w:b/>
          <w:bCs/>
          <w:noProof/>
          <w:u w:val="single"/>
        </w:rPr>
        <w:t>Behebung feuergefährlicher Zustände</w:t>
      </w:r>
    </w:p>
    <w:p w:rsidR="002A60C8" w:rsidRDefault="002A60C8" w:rsidP="002A60C8">
      <w:pPr>
        <w:ind w:left="1418"/>
        <w:rPr>
          <w:b/>
          <w:bCs/>
        </w:rPr>
      </w:pPr>
    </w:p>
    <w:p w:rsidR="002A60C8" w:rsidRDefault="002A60C8" w:rsidP="002A60C8">
      <w:pPr>
        <w:ind w:left="1418"/>
      </w:pPr>
    </w:p>
    <w:p w:rsidR="002A60C8" w:rsidRDefault="002A60C8" w:rsidP="002A60C8">
      <w:pPr>
        <w:ind w:left="1418"/>
      </w:pPr>
    </w:p>
    <w:p w:rsidR="002A60C8" w:rsidRDefault="002A60C8" w:rsidP="002A60C8">
      <w:pPr>
        <w:ind w:left="1418"/>
      </w:pPr>
    </w:p>
    <w:p w:rsidR="002A60C8" w:rsidRDefault="002A60C8" w:rsidP="002A60C8">
      <w:pPr>
        <w:tabs>
          <w:tab w:val="right" w:pos="8931"/>
        </w:tabs>
        <w:jc w:val="center"/>
        <w:rPr>
          <w:b/>
          <w:sz w:val="28"/>
          <w:u w:val="single"/>
          <w:lang w:val="it-IT"/>
        </w:rPr>
      </w:pPr>
      <w:r>
        <w:rPr>
          <w:b/>
          <w:sz w:val="28"/>
          <w:u w:val="single"/>
          <w:lang w:val="it-IT"/>
        </w:rPr>
        <w:t>B E S C H E I D</w:t>
      </w:r>
    </w:p>
    <w:p w:rsidR="002A60C8" w:rsidRDefault="002A60C8" w:rsidP="002A60C8">
      <w:pPr>
        <w:tabs>
          <w:tab w:val="right" w:pos="8931"/>
        </w:tabs>
        <w:jc w:val="center"/>
        <w:rPr>
          <w:u w:val="single"/>
          <w:lang w:val="it-IT"/>
        </w:rPr>
      </w:pPr>
    </w:p>
    <w:p w:rsidR="002A60C8" w:rsidRDefault="002A60C8" w:rsidP="002A60C8">
      <w:pPr>
        <w:tabs>
          <w:tab w:val="right" w:pos="8931"/>
        </w:tabs>
        <w:jc w:val="center"/>
        <w:rPr>
          <w:u w:val="single"/>
          <w:lang w:val="it-IT"/>
        </w:rPr>
      </w:pPr>
    </w:p>
    <w:p w:rsidR="002A60C8" w:rsidRDefault="002A60C8" w:rsidP="002A60C8">
      <w:pPr>
        <w:spacing w:line="300" w:lineRule="exact"/>
        <w:jc w:val="both"/>
        <w:rPr>
          <w:noProof/>
        </w:rPr>
      </w:pPr>
      <w:r>
        <w:rPr>
          <w:noProof/>
        </w:rPr>
        <w:t xml:space="preserve">Am </w:t>
      </w:r>
      <w:r w:rsidRPr="001F5F3F">
        <w:rPr>
          <w:b/>
          <w:noProof/>
        </w:rPr>
        <w:t>XX.XX.2015</w:t>
      </w:r>
      <w:r>
        <w:rPr>
          <w:noProof/>
        </w:rPr>
        <w:t xml:space="preserve"> wurde eine Überprüfung des betreffsgegenständlichen Objektes hinsichtlich feuerpolizeilicher Mängel durchgeführt. Die durchgeführte Feuerbeschau gemäß den Bestimmungen der §§ 16 bis 18 der Tiroler Feuerpolizeiordnung 1998, LGBL. Nr. 111/1998 idgF, hat folgenden Befund:</w:t>
      </w:r>
    </w:p>
    <w:p w:rsidR="002A60C8" w:rsidRDefault="002A60C8" w:rsidP="002A60C8">
      <w:pPr>
        <w:spacing w:line="300" w:lineRule="exact"/>
        <w:jc w:val="both"/>
        <w:rPr>
          <w:noProof/>
        </w:rPr>
      </w:pPr>
    </w:p>
    <w:p w:rsidR="002A60C8" w:rsidRDefault="002A60C8" w:rsidP="002A60C8">
      <w:pPr>
        <w:pStyle w:val="berschrift5"/>
        <w:tabs>
          <w:tab w:val="clear" w:pos="8931"/>
        </w:tabs>
        <w:rPr>
          <w:lang w:val="de-DE"/>
        </w:rPr>
      </w:pPr>
      <w:r>
        <w:rPr>
          <w:lang w:val="de-DE"/>
        </w:rPr>
        <w:t>BEFUND</w:t>
      </w:r>
    </w:p>
    <w:p w:rsidR="002A60C8" w:rsidRDefault="002A60C8" w:rsidP="002A60C8">
      <w:pPr>
        <w:spacing w:line="300" w:lineRule="exact"/>
        <w:jc w:val="both"/>
        <w:rPr>
          <w:noProof/>
        </w:rPr>
      </w:pPr>
      <w:r>
        <w:rPr>
          <w:noProof/>
        </w:rPr>
        <w:t>ergeben:</w:t>
      </w:r>
    </w:p>
    <w:p w:rsidR="002A60C8" w:rsidRDefault="002A60C8" w:rsidP="002A60C8">
      <w:pPr>
        <w:spacing w:line="300" w:lineRule="exact"/>
        <w:jc w:val="both"/>
        <w:rPr>
          <w:noProof/>
        </w:rPr>
      </w:pPr>
    </w:p>
    <w:p w:rsidR="002A60C8" w:rsidRDefault="002A60C8" w:rsidP="002A60C8">
      <w:pPr>
        <w:spacing w:line="300" w:lineRule="exact"/>
        <w:jc w:val="both"/>
        <w:rPr>
          <w:noProof/>
        </w:rPr>
      </w:pPr>
    </w:p>
    <w:p w:rsidR="002A60C8" w:rsidRDefault="002A60C8" w:rsidP="002A60C8">
      <w:pPr>
        <w:spacing w:line="300" w:lineRule="exact"/>
        <w:jc w:val="both"/>
        <w:rPr>
          <w:rFonts w:cs="Arial"/>
          <w:szCs w:val="22"/>
        </w:rPr>
      </w:pPr>
      <w:r>
        <w:rPr>
          <w:rFonts w:cs="Arial"/>
          <w:szCs w:val="22"/>
        </w:rPr>
        <w:t>Beim beschauten Objekt handelt es sich um eine Betriebsanlage der Fa. XY GmbH, bestehend aus der Auslieferungshalle an der Ostseite, dem Büro und dem Rohlager und Heizraum an der Westseite. Das Rohlager und die Auslieferungshalle samt dem Büro sind als zwei Hauptbrandabschnitte ausgeführt. Als Unterbrandabschnitt ist der Heizraum und Öllagerraum ausgeführt.</w:t>
      </w:r>
    </w:p>
    <w:p w:rsidR="002A60C8" w:rsidRDefault="002A60C8" w:rsidP="002A60C8">
      <w:pPr>
        <w:spacing w:line="300" w:lineRule="exact"/>
        <w:jc w:val="both"/>
        <w:rPr>
          <w:rFonts w:cs="Arial"/>
          <w:szCs w:val="22"/>
        </w:rPr>
      </w:pPr>
    </w:p>
    <w:p w:rsidR="002A60C8" w:rsidRDefault="002A60C8" w:rsidP="002A60C8">
      <w:pPr>
        <w:spacing w:line="300" w:lineRule="exact"/>
        <w:jc w:val="both"/>
        <w:rPr>
          <w:rFonts w:cs="Arial"/>
          <w:szCs w:val="22"/>
        </w:rPr>
      </w:pPr>
      <w:r>
        <w:rPr>
          <w:rFonts w:cs="Arial"/>
          <w:szCs w:val="22"/>
        </w:rPr>
        <w:t>Zur Entstehungsbrandbekämpfung befindet sich im Rohlager, sowie im Auslieferungslager ein überprüftes HFL Gerät, sowie ein überprüfter Wandhydrant.</w:t>
      </w:r>
    </w:p>
    <w:p w:rsidR="002A60C8" w:rsidRDefault="002A60C8" w:rsidP="002A60C8">
      <w:pPr>
        <w:spacing w:line="300" w:lineRule="exact"/>
        <w:jc w:val="both"/>
        <w:rPr>
          <w:rFonts w:cs="Arial"/>
          <w:szCs w:val="22"/>
        </w:rPr>
      </w:pPr>
    </w:p>
    <w:p w:rsidR="002A60C8" w:rsidRPr="008A2391" w:rsidRDefault="002A60C8" w:rsidP="002A60C8">
      <w:pPr>
        <w:spacing w:line="300" w:lineRule="exact"/>
        <w:jc w:val="both"/>
        <w:rPr>
          <w:rFonts w:cs="Arial"/>
          <w:szCs w:val="22"/>
          <w:u w:val="single"/>
        </w:rPr>
      </w:pPr>
    </w:p>
    <w:p w:rsidR="002A60C8" w:rsidRPr="00180EB2" w:rsidRDefault="002A60C8" w:rsidP="002A60C8">
      <w:pPr>
        <w:spacing w:line="300" w:lineRule="exact"/>
        <w:jc w:val="both"/>
        <w:rPr>
          <w:b/>
          <w:noProof/>
          <w:u w:val="single"/>
        </w:rPr>
      </w:pPr>
      <w:r w:rsidRPr="00180EB2">
        <w:rPr>
          <w:b/>
          <w:noProof/>
          <w:u w:val="single"/>
        </w:rPr>
        <w:t>Mängelfeststellung im Sinne des § 18 Abs. 4 der Tiroler Feuerpolizeiordnung 1998:</w:t>
      </w:r>
    </w:p>
    <w:p w:rsidR="002A60C8" w:rsidRDefault="002A60C8" w:rsidP="002A60C8">
      <w:pPr>
        <w:spacing w:line="300" w:lineRule="exact"/>
        <w:rPr>
          <w:rFonts w:cs="Arial"/>
          <w:b/>
          <w:szCs w:val="22"/>
          <w:u w:val="single"/>
        </w:rPr>
      </w:pPr>
    </w:p>
    <w:p w:rsidR="002A60C8" w:rsidRDefault="002A60C8" w:rsidP="002A60C8">
      <w:pPr>
        <w:numPr>
          <w:ilvl w:val="0"/>
          <w:numId w:val="1"/>
        </w:numPr>
        <w:spacing w:line="300" w:lineRule="exact"/>
        <w:jc w:val="both"/>
        <w:rPr>
          <w:rFonts w:cs="Arial"/>
          <w:szCs w:val="22"/>
        </w:rPr>
      </w:pPr>
      <w:r>
        <w:rPr>
          <w:rFonts w:cs="Arial"/>
          <w:szCs w:val="22"/>
        </w:rPr>
        <w:t>Es ist keine Fluchtwegorientierungsbeleuchtung (FLOB) vorhanden.</w:t>
      </w:r>
    </w:p>
    <w:p w:rsidR="002A60C8" w:rsidRDefault="002A60C8" w:rsidP="002A60C8">
      <w:pPr>
        <w:pStyle w:val="berschrift2"/>
        <w:rPr>
          <w:sz w:val="28"/>
          <w:lang w:val="en-GB"/>
        </w:rPr>
      </w:pPr>
    </w:p>
    <w:p w:rsidR="002A60C8" w:rsidRDefault="002A60C8" w:rsidP="002A60C8">
      <w:pPr>
        <w:rPr>
          <w:lang w:val="en-GB"/>
        </w:rPr>
      </w:pPr>
    </w:p>
    <w:p w:rsidR="002A60C8" w:rsidRDefault="002A60C8" w:rsidP="002A60C8">
      <w:pPr>
        <w:rPr>
          <w:lang w:val="en-GB"/>
        </w:rPr>
      </w:pPr>
    </w:p>
    <w:p w:rsidR="002A60C8" w:rsidRDefault="002A60C8" w:rsidP="002A60C8">
      <w:pPr>
        <w:rPr>
          <w:lang w:val="en-GB"/>
        </w:rPr>
      </w:pPr>
    </w:p>
    <w:p w:rsidR="002A60C8" w:rsidRPr="00357233" w:rsidRDefault="002A60C8" w:rsidP="002A60C8">
      <w:pPr>
        <w:rPr>
          <w:lang w:val="en-GB"/>
        </w:rPr>
      </w:pPr>
    </w:p>
    <w:p w:rsidR="002A60C8" w:rsidRPr="005C519C" w:rsidRDefault="002A60C8" w:rsidP="002A60C8">
      <w:pPr>
        <w:rPr>
          <w:lang w:val="en-GB"/>
        </w:rPr>
      </w:pPr>
    </w:p>
    <w:p w:rsidR="002A60C8" w:rsidRDefault="002A60C8" w:rsidP="002A60C8">
      <w:pPr>
        <w:pStyle w:val="berschrift2"/>
        <w:rPr>
          <w:sz w:val="28"/>
          <w:lang w:val="en-GB"/>
        </w:rPr>
      </w:pPr>
      <w:r>
        <w:rPr>
          <w:sz w:val="28"/>
          <w:lang w:val="en-GB"/>
        </w:rPr>
        <w:lastRenderedPageBreak/>
        <w:t>S P R U C H</w:t>
      </w:r>
    </w:p>
    <w:p w:rsidR="002A60C8" w:rsidRDefault="002A60C8" w:rsidP="002A60C8">
      <w:pPr>
        <w:pStyle w:val="StandardGrund"/>
        <w:tabs>
          <w:tab w:val="clear" w:pos="4537"/>
          <w:tab w:val="clear" w:pos="8505"/>
        </w:tabs>
        <w:rPr>
          <w:sz w:val="28"/>
          <w:lang w:val="en-GB"/>
        </w:rPr>
      </w:pPr>
    </w:p>
    <w:p w:rsidR="002A60C8" w:rsidRDefault="002A60C8" w:rsidP="002A60C8">
      <w:pPr>
        <w:pStyle w:val="StandardGrund"/>
        <w:tabs>
          <w:tab w:val="clear" w:pos="4537"/>
          <w:tab w:val="clear" w:pos="8505"/>
        </w:tabs>
        <w:spacing w:line="300" w:lineRule="atLeast"/>
        <w:rPr>
          <w:lang w:val="de-AT"/>
        </w:rPr>
      </w:pPr>
      <w:r>
        <w:rPr>
          <w:lang w:val="de-AT"/>
        </w:rPr>
        <w:t>Der Bürgermeister der Gemeinde XY als Behörde I. Instanz im Sinne der Tiroler Feuerpolizeiordnung 1998 gemäß § 34 Abs. 1 Tiroler Feuerpolizeiordnung 1998 idgF erteilt aufgrund der im Befund festgestellten Mängel folgenden behördlichen Auftrag:</w:t>
      </w: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spacing w:line="300" w:lineRule="atLeast"/>
        <w:rPr>
          <w:lang w:val="de-AT"/>
        </w:rPr>
      </w:pPr>
      <w:r>
        <w:rPr>
          <w:lang w:val="de-AT"/>
        </w:rPr>
        <w:t>Aufgrund des Ergebnisses der durchgeführten Feuerbeschau sind gemäß § 19 Tiroler Feuerpolizeiordnung 1998, LGBL. Nr. 111/1998 idgF, die nachstehend angeführten erforderlichen Maßnahmen zur Beseitigung der festgestellten Mängel bis zu den im Anschluss angegebenen Fristen zu beheben:</w:t>
      </w: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spacing w:line="300" w:lineRule="atLeast"/>
        <w:rPr>
          <w:lang w:val="de-AT"/>
        </w:rPr>
      </w:pPr>
    </w:p>
    <w:p w:rsidR="002A60C8" w:rsidRPr="00F46B69" w:rsidRDefault="002A60C8" w:rsidP="002A60C8">
      <w:pPr>
        <w:pStyle w:val="StandardGrund"/>
        <w:tabs>
          <w:tab w:val="clear" w:pos="4537"/>
          <w:tab w:val="clear" w:pos="8505"/>
        </w:tabs>
        <w:spacing w:line="300" w:lineRule="atLeast"/>
        <w:rPr>
          <w:b/>
          <w:u w:val="single"/>
          <w:lang w:val="de-AT"/>
        </w:rPr>
      </w:pPr>
      <w:r w:rsidRPr="00F46B69">
        <w:rPr>
          <w:b/>
          <w:u w:val="single"/>
          <w:lang w:val="de-AT"/>
        </w:rPr>
        <w:t>Maßnahmen zur Beseitigung der festgestellten Mängel</w:t>
      </w:r>
      <w:r>
        <w:rPr>
          <w:b/>
          <w:u w:val="single"/>
          <w:lang w:val="de-AT"/>
        </w:rPr>
        <w:t>:</w:t>
      </w: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numPr>
          <w:ilvl w:val="0"/>
          <w:numId w:val="2"/>
        </w:numPr>
        <w:spacing w:line="300" w:lineRule="exact"/>
        <w:jc w:val="both"/>
        <w:rPr>
          <w:rFonts w:cs="Arial"/>
          <w:szCs w:val="22"/>
        </w:rPr>
      </w:pPr>
      <w:r>
        <w:rPr>
          <w:rFonts w:cs="Arial"/>
          <w:szCs w:val="22"/>
        </w:rPr>
        <w:t>Flucht- und Verkehrswege, Ausgänge und Notausgänge sind mit einer netzunabhängigen Fluchtwegorientierungsbeleuchtung gemäß der TRVB 102 E auszustatten.</w:t>
      </w:r>
    </w:p>
    <w:p w:rsidR="002A60C8" w:rsidRDefault="002A60C8" w:rsidP="002A60C8">
      <w:pPr>
        <w:spacing w:line="300" w:lineRule="exact"/>
        <w:jc w:val="both"/>
        <w:rPr>
          <w:rFonts w:cs="Arial"/>
          <w:szCs w:val="22"/>
        </w:rPr>
      </w:pPr>
    </w:p>
    <w:p w:rsidR="002A60C8" w:rsidRDefault="002A60C8" w:rsidP="002A60C8">
      <w:pPr>
        <w:spacing w:line="300" w:lineRule="exact"/>
        <w:jc w:val="both"/>
        <w:rPr>
          <w:rFonts w:cs="Arial"/>
          <w:szCs w:val="22"/>
        </w:rPr>
      </w:pPr>
    </w:p>
    <w:p w:rsidR="002A60C8" w:rsidRPr="00F46B69" w:rsidRDefault="002A60C8" w:rsidP="002A60C8">
      <w:pPr>
        <w:pStyle w:val="StandardGrund"/>
        <w:tabs>
          <w:tab w:val="clear" w:pos="4537"/>
          <w:tab w:val="clear" w:pos="8505"/>
        </w:tabs>
        <w:spacing w:line="300" w:lineRule="atLeast"/>
        <w:rPr>
          <w:b/>
          <w:u w:val="single"/>
          <w:lang w:val="de-AT"/>
        </w:rPr>
      </w:pPr>
      <w:r>
        <w:rPr>
          <w:b/>
          <w:u w:val="single"/>
          <w:lang w:val="de-AT"/>
        </w:rPr>
        <w:t>Fristen:</w:t>
      </w: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spacing w:line="300" w:lineRule="atLeast"/>
        <w:rPr>
          <w:lang w:val="de-AT"/>
        </w:rPr>
      </w:pPr>
      <w:r>
        <w:rPr>
          <w:lang w:val="de-AT"/>
        </w:rPr>
        <w:t>Die Maßnahmen der Punkte</w:t>
      </w:r>
      <w:r w:rsidRPr="001D2F62">
        <w:rPr>
          <w:b/>
          <w:lang w:val="de-AT"/>
        </w:rPr>
        <w:t xml:space="preserve"> </w:t>
      </w:r>
      <w:r>
        <w:rPr>
          <w:b/>
          <w:lang w:val="de-AT"/>
        </w:rPr>
        <w:t xml:space="preserve">1. </w:t>
      </w:r>
      <w:r>
        <w:rPr>
          <w:lang w:val="de-AT"/>
        </w:rPr>
        <w:t xml:space="preserve">sind </w:t>
      </w:r>
      <w:r w:rsidRPr="007760DD">
        <w:rPr>
          <w:b/>
          <w:lang w:val="de-AT"/>
        </w:rPr>
        <w:t xml:space="preserve">bis längstens </w:t>
      </w:r>
      <w:r>
        <w:rPr>
          <w:b/>
          <w:lang w:val="de-AT"/>
        </w:rPr>
        <w:t>XY.XY</w:t>
      </w:r>
      <w:r w:rsidRPr="007760DD">
        <w:rPr>
          <w:b/>
          <w:lang w:val="de-AT"/>
        </w:rPr>
        <w:t>.2015</w:t>
      </w:r>
      <w:r>
        <w:rPr>
          <w:lang w:val="de-AT"/>
        </w:rPr>
        <w:t xml:space="preserve"> durchzuführen bzw. durchführen zu lassen und die Behebung der Mängel der zuständigen Behörde schriftlich mitzuteilen.</w:t>
      </w: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spacing w:line="300" w:lineRule="atLeast"/>
        <w:rPr>
          <w:lang w:val="de-AT"/>
        </w:rPr>
      </w:pPr>
    </w:p>
    <w:p w:rsidR="002A60C8" w:rsidRDefault="002A60C8" w:rsidP="002A60C8">
      <w:pPr>
        <w:pStyle w:val="StandardGrund"/>
        <w:tabs>
          <w:tab w:val="clear" w:pos="4537"/>
          <w:tab w:val="clear" w:pos="8505"/>
        </w:tabs>
        <w:jc w:val="center"/>
        <w:rPr>
          <w:b/>
          <w:bCs/>
          <w:sz w:val="24"/>
          <w:u w:val="single"/>
          <w:lang w:val="de-AT"/>
        </w:rPr>
      </w:pPr>
      <w:r>
        <w:rPr>
          <w:b/>
          <w:bCs/>
          <w:sz w:val="24"/>
          <w:u w:val="single"/>
          <w:lang w:val="de-AT"/>
        </w:rPr>
        <w:t>Rechtsmittelbelehrung</w:t>
      </w:r>
    </w:p>
    <w:p w:rsidR="002A60C8" w:rsidRDefault="002A60C8" w:rsidP="002A60C8">
      <w:pPr>
        <w:pStyle w:val="StandardGrund"/>
        <w:tabs>
          <w:tab w:val="clear" w:pos="4537"/>
          <w:tab w:val="clear" w:pos="8505"/>
        </w:tabs>
        <w:rPr>
          <w:lang w:val="de-AT"/>
        </w:rPr>
      </w:pPr>
    </w:p>
    <w:p w:rsidR="002A60C8" w:rsidRDefault="002A60C8" w:rsidP="002A60C8">
      <w:pPr>
        <w:tabs>
          <w:tab w:val="left" w:pos="851"/>
          <w:tab w:val="left" w:pos="5387"/>
          <w:tab w:val="left" w:pos="9214"/>
        </w:tabs>
        <w:spacing w:line="280" w:lineRule="atLeast"/>
        <w:ind w:right="225"/>
        <w:jc w:val="both"/>
        <w:rPr>
          <w:szCs w:val="22"/>
          <w:lang w:val="de-AT" w:eastAsia="de-AT"/>
        </w:rPr>
      </w:pPr>
      <w:r w:rsidRPr="00F266C0">
        <w:rPr>
          <w:rFonts w:eastAsia="Cambria" w:cs="Arial"/>
          <w:szCs w:val="22"/>
          <w:lang w:eastAsia="en-US"/>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w:t>
      </w:r>
      <w:r>
        <w:rPr>
          <w:rFonts w:eastAsia="Cambria" w:cs="Arial"/>
          <w:szCs w:val="22"/>
          <w:lang w:eastAsia="en-US"/>
        </w:rPr>
        <w:t>XY</w:t>
      </w:r>
      <w:r w:rsidRPr="00F266C0">
        <w:rPr>
          <w:rFonts w:eastAsia="Cambria" w:cs="Arial"/>
          <w:szCs w:val="22"/>
          <w:lang w:eastAsia="en-US"/>
        </w:rPr>
        <w:t xml:space="preserve">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Eine rechtzeitig eingebrachte und zulässige Beschwerde hat aufschiebende Wirkung. </w:t>
      </w:r>
      <w:r w:rsidRPr="00F266C0">
        <w:rPr>
          <w:szCs w:val="22"/>
          <w:lang w:val="de-AT" w:eastAsia="de-AT"/>
        </w:rPr>
        <w:t>In der Beschwerde kann die Durchführung einer mündlichen Verhandlung vor dem Landesverwaltungsgericht beantragt werden.</w:t>
      </w:r>
    </w:p>
    <w:p w:rsidR="002A60C8" w:rsidRDefault="002A60C8" w:rsidP="002A60C8">
      <w:pPr>
        <w:tabs>
          <w:tab w:val="left" w:pos="851"/>
          <w:tab w:val="left" w:pos="5387"/>
          <w:tab w:val="left" w:pos="9214"/>
        </w:tabs>
        <w:spacing w:line="280" w:lineRule="atLeast"/>
        <w:ind w:right="225"/>
        <w:jc w:val="both"/>
        <w:rPr>
          <w:szCs w:val="22"/>
          <w:lang w:val="de-AT" w:eastAsia="de-AT"/>
        </w:rPr>
      </w:pPr>
    </w:p>
    <w:p w:rsidR="002A60C8" w:rsidRPr="001F5F3F" w:rsidRDefault="002A60C8" w:rsidP="002A60C8">
      <w:pPr>
        <w:tabs>
          <w:tab w:val="left" w:pos="851"/>
          <w:tab w:val="left" w:pos="5387"/>
          <w:tab w:val="left" w:pos="9214"/>
        </w:tabs>
        <w:spacing w:line="280" w:lineRule="atLeast"/>
        <w:ind w:right="225"/>
        <w:jc w:val="both"/>
        <w:rPr>
          <w:rFonts w:eastAsia="Cambria" w:cs="Arial"/>
          <w:szCs w:val="22"/>
          <w:u w:val="single"/>
          <w:lang w:eastAsia="en-US"/>
        </w:rPr>
      </w:pP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u w:val="single"/>
          <w:lang w:val="de-AT" w:eastAsia="en-US"/>
        </w:rPr>
      </w:pPr>
      <w:r w:rsidRPr="001F5F3F">
        <w:rPr>
          <w:rFonts w:eastAsia="Cambria" w:cs="Arial"/>
          <w:i/>
          <w:iCs/>
          <w:szCs w:val="22"/>
          <w:u w:val="single"/>
          <w:lang w:val="de-AT" w:eastAsia="en-US"/>
        </w:rPr>
        <w:t>Hinweis zur Gebührenpflicht:</w:t>
      </w: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lang w:val="de-AT" w:eastAsia="en-US"/>
        </w:rPr>
      </w:pPr>
    </w:p>
    <w:p w:rsidR="002A60C8" w:rsidRPr="001F5F3F" w:rsidRDefault="00C53319" w:rsidP="002A60C8">
      <w:pPr>
        <w:tabs>
          <w:tab w:val="left" w:pos="851"/>
          <w:tab w:val="left" w:pos="5387"/>
          <w:tab w:val="left" w:pos="9214"/>
        </w:tabs>
        <w:spacing w:line="280" w:lineRule="atLeast"/>
        <w:ind w:right="225"/>
        <w:jc w:val="both"/>
        <w:rPr>
          <w:rFonts w:eastAsia="Cambria" w:cs="Arial"/>
          <w:i/>
          <w:iCs/>
          <w:szCs w:val="22"/>
          <w:lang w:val="de-AT" w:eastAsia="en-US"/>
        </w:rPr>
      </w:pPr>
      <w:r w:rsidRPr="00C53319">
        <w:rPr>
          <w:rFonts w:eastAsia="Cambria" w:cs="Arial"/>
          <w:i/>
          <w:iCs/>
          <w:szCs w:val="22"/>
          <w:lang w:val="de-AT" w:eastAsia="en-US"/>
        </w:rPr>
        <w:t xml:space="preserve">Die Beschwerde ist mit € 30,— zu </w:t>
      </w:r>
      <w:proofErr w:type="spellStart"/>
      <w:r w:rsidRPr="00C53319">
        <w:rPr>
          <w:rFonts w:eastAsia="Cambria" w:cs="Arial"/>
          <w:i/>
          <w:iCs/>
          <w:szCs w:val="22"/>
          <w:lang w:val="de-AT" w:eastAsia="en-US"/>
        </w:rPr>
        <w:t>vergebühren</w:t>
      </w:r>
      <w:proofErr w:type="spellEnd"/>
      <w:r w:rsidRPr="00C53319">
        <w:rPr>
          <w:rFonts w:eastAsia="Cambria" w:cs="Arial"/>
          <w:i/>
          <w:iCs/>
          <w:szCs w:val="22"/>
          <w:lang w:val="de-AT" w:eastAsia="en-US"/>
        </w:rPr>
        <w:t xml:space="preserve">.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w:t>
      </w:r>
      <w:r w:rsidRPr="00C53319">
        <w:rPr>
          <w:rFonts w:eastAsia="Cambria" w:cs="Arial"/>
          <w:i/>
          <w:iCs/>
          <w:szCs w:val="22"/>
          <w:lang w:val="de-AT" w:eastAsia="en-US"/>
        </w:rPr>
        <w:lastRenderedPageBreak/>
        <w:t>Zahlungsanweisung ist der Beschwerde als Nachweis für die Entrichtung der Gebühr anzuschließen.</w:t>
      </w:r>
      <w:bookmarkStart w:id="0" w:name="_GoBack"/>
      <w:bookmarkEnd w:id="0"/>
    </w:p>
    <w:p w:rsidR="002A60C8" w:rsidRDefault="002A60C8" w:rsidP="002A60C8">
      <w:pPr>
        <w:tabs>
          <w:tab w:val="left" w:pos="851"/>
          <w:tab w:val="left" w:pos="5387"/>
          <w:tab w:val="left" w:pos="9214"/>
        </w:tabs>
        <w:spacing w:line="280" w:lineRule="atLeast"/>
        <w:ind w:right="225"/>
        <w:jc w:val="both"/>
        <w:rPr>
          <w:rFonts w:eastAsia="Cambria" w:cs="Arial"/>
          <w:i/>
          <w:iCs/>
          <w:szCs w:val="22"/>
          <w:lang w:val="de-AT" w:eastAsia="en-US"/>
        </w:rPr>
      </w:pP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lang w:val="de-AT" w:eastAsia="en-US"/>
        </w:rPr>
      </w:pP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u w:val="single"/>
          <w:lang w:val="de-AT" w:eastAsia="en-US"/>
        </w:rPr>
      </w:pPr>
      <w:r w:rsidRPr="001F5F3F">
        <w:rPr>
          <w:rFonts w:eastAsia="Cambria" w:cs="Arial"/>
          <w:i/>
          <w:iCs/>
          <w:szCs w:val="22"/>
          <w:u w:val="single"/>
          <w:lang w:val="de-AT" w:eastAsia="en-US"/>
        </w:rPr>
        <w:t>Hinweis für Rechtsanwälte, Steuerberater und Wirtschaftsprüfer:</w:t>
      </w: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lang w:val="de-AT" w:eastAsia="en-US"/>
        </w:rPr>
      </w:pPr>
    </w:p>
    <w:p w:rsidR="002A60C8" w:rsidRPr="001F5F3F" w:rsidRDefault="002A60C8" w:rsidP="002A60C8">
      <w:pPr>
        <w:tabs>
          <w:tab w:val="left" w:pos="851"/>
          <w:tab w:val="left" w:pos="5387"/>
          <w:tab w:val="left" w:pos="9214"/>
        </w:tabs>
        <w:spacing w:line="280" w:lineRule="atLeast"/>
        <w:ind w:right="225"/>
        <w:jc w:val="both"/>
        <w:rPr>
          <w:rFonts w:eastAsia="Cambria" w:cs="Arial"/>
          <w:i/>
          <w:iCs/>
          <w:szCs w:val="22"/>
          <w:lang w:val="de-AT" w:eastAsia="en-US"/>
        </w:rPr>
      </w:pPr>
      <w:r w:rsidRPr="001F5F3F">
        <w:rPr>
          <w:rFonts w:eastAsia="Cambria" w:cs="Arial"/>
          <w:i/>
          <w:iCs/>
          <w:szCs w:val="22"/>
          <w:lang w:val="de-AT" w:eastAsia="en-US"/>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2A60C8" w:rsidRPr="001F5F3F" w:rsidRDefault="002A60C8" w:rsidP="002A60C8">
      <w:pPr>
        <w:tabs>
          <w:tab w:val="left" w:pos="851"/>
          <w:tab w:val="left" w:pos="5387"/>
          <w:tab w:val="left" w:pos="9214"/>
        </w:tabs>
        <w:spacing w:line="280" w:lineRule="atLeast"/>
        <w:ind w:right="225"/>
        <w:jc w:val="both"/>
        <w:rPr>
          <w:rFonts w:eastAsia="Cambria" w:cs="Arial"/>
          <w:szCs w:val="22"/>
          <w:u w:val="single"/>
          <w:lang w:eastAsia="en-US"/>
        </w:rPr>
      </w:pPr>
    </w:p>
    <w:p w:rsidR="002A60C8" w:rsidRPr="00F266C0" w:rsidRDefault="002A60C8" w:rsidP="002A60C8">
      <w:pPr>
        <w:tabs>
          <w:tab w:val="left" w:pos="851"/>
          <w:tab w:val="left" w:pos="5387"/>
          <w:tab w:val="left" w:pos="9214"/>
        </w:tabs>
        <w:spacing w:line="280" w:lineRule="atLeast"/>
        <w:ind w:right="225"/>
        <w:jc w:val="both"/>
        <w:rPr>
          <w:szCs w:val="22"/>
          <w:lang w:val="de-AT" w:eastAsia="de-AT"/>
        </w:rPr>
      </w:pPr>
    </w:p>
    <w:p w:rsidR="002A60C8" w:rsidRDefault="002A60C8" w:rsidP="002A60C8">
      <w:pPr>
        <w:pStyle w:val="StandardGrund"/>
        <w:tabs>
          <w:tab w:val="clear" w:pos="4537"/>
          <w:tab w:val="clear" w:pos="8505"/>
        </w:tabs>
        <w:rPr>
          <w:lang w:val="de-AT"/>
        </w:rPr>
      </w:pPr>
    </w:p>
    <w:p w:rsidR="002A60C8" w:rsidRDefault="002A60C8" w:rsidP="002A60C8">
      <w:pPr>
        <w:pStyle w:val="StandardGrund"/>
        <w:tabs>
          <w:tab w:val="clear" w:pos="4537"/>
          <w:tab w:val="clear" w:pos="8505"/>
        </w:tabs>
        <w:jc w:val="center"/>
        <w:rPr>
          <w:b/>
          <w:bCs/>
          <w:sz w:val="24"/>
          <w:u w:val="single"/>
          <w:lang w:val="de-AT"/>
        </w:rPr>
      </w:pPr>
      <w:r>
        <w:rPr>
          <w:b/>
          <w:bCs/>
          <w:sz w:val="24"/>
          <w:u w:val="single"/>
          <w:lang w:val="de-AT"/>
        </w:rPr>
        <w:t>Begründung</w:t>
      </w:r>
    </w:p>
    <w:p w:rsidR="002A60C8" w:rsidRDefault="002A60C8" w:rsidP="002A60C8">
      <w:pPr>
        <w:pStyle w:val="StandardGrund"/>
        <w:tabs>
          <w:tab w:val="clear" w:pos="4537"/>
          <w:tab w:val="clear" w:pos="8505"/>
        </w:tabs>
        <w:jc w:val="center"/>
        <w:rPr>
          <w:b/>
          <w:bCs/>
          <w:sz w:val="24"/>
          <w:u w:val="single"/>
          <w:lang w:val="de-AT"/>
        </w:rPr>
      </w:pPr>
    </w:p>
    <w:p w:rsidR="002A60C8" w:rsidRPr="00E036A5" w:rsidRDefault="002A60C8" w:rsidP="002A60C8">
      <w:pPr>
        <w:pStyle w:val="Textkrper"/>
        <w:spacing w:line="300" w:lineRule="exact"/>
        <w:ind w:right="-2"/>
        <w:rPr>
          <w:u w:val="none"/>
        </w:rPr>
      </w:pPr>
      <w:r w:rsidRPr="00E036A5">
        <w:rPr>
          <w:u w:val="none"/>
        </w:rPr>
        <w:t>Gemäß § 19 Abs</w:t>
      </w:r>
      <w:r>
        <w:rPr>
          <w:u w:val="none"/>
        </w:rPr>
        <w:t>atz</w:t>
      </w:r>
      <w:r w:rsidRPr="00E036A5">
        <w:rPr>
          <w:u w:val="none"/>
        </w:rPr>
        <w:t xml:space="preserve"> 1 Tiroler Feuerpolizeiordnung 1998 hat die Behörde dem Eigentümer des Grundstückes, der baulichen Anlage bzw. der Feuerungsanlage oder dem sonst hierüber Verfügungsberechtigten für den Fall, dass bei einer Hauptüberprüfung oder einer Feuerbeschau oder sonst im Rahmen der feuerpolizeilichen Aufsicht auf einem Grundstück, an einer baulichen Anlage oder an einer Feuerungsanlage Mängel oder sonstige Zustände im Sinne des § 2 Abs. 1 festgestellt werden, deren Behebung innerhalb einer angemessen festzusetzenden Frist oder, wenn Interessen der Brandsicherheit dies erfordern, deren sofortige Behebung aufzutragen. Nach Fristablauf hat die Behörde zu überprüfen, ob dem Auftrag entsprochen worden ist (Nachbeschau).</w:t>
      </w:r>
    </w:p>
    <w:p w:rsidR="002A60C8" w:rsidRPr="004223E5" w:rsidRDefault="002A60C8" w:rsidP="002A60C8">
      <w:pPr>
        <w:pStyle w:val="Textkrper"/>
        <w:spacing w:line="300" w:lineRule="exact"/>
        <w:ind w:right="-2"/>
        <w:rPr>
          <w:rFonts w:cs="Arial"/>
        </w:rPr>
      </w:pPr>
    </w:p>
    <w:p w:rsidR="002A60C8" w:rsidRPr="004223E5" w:rsidRDefault="002A60C8" w:rsidP="002A60C8">
      <w:pPr>
        <w:spacing w:line="300" w:lineRule="exact"/>
        <w:jc w:val="both"/>
        <w:rPr>
          <w:rFonts w:cs="Arial"/>
        </w:rPr>
      </w:pPr>
      <w:r w:rsidRPr="004223E5">
        <w:rPr>
          <w:rFonts w:cs="Arial"/>
        </w:rPr>
        <w:t xml:space="preserve">Im gegenständlichen Fall wurden im Zuge der feuerpolizeilichen Überprüfung Mängel festgestellt, die geeignet sind, die Sicherheit und Gesundheit der Bewohner sowie die Sicherheit des Eigentums zu beeinträchtigen, weshalb die im Spruch angeführten Maßnahmen anzuordnen waren. </w:t>
      </w:r>
    </w:p>
    <w:p w:rsidR="002A60C8" w:rsidRPr="004223E5" w:rsidRDefault="002A60C8" w:rsidP="002A60C8">
      <w:pPr>
        <w:ind w:right="283"/>
        <w:jc w:val="both"/>
        <w:rPr>
          <w:rFonts w:cs="Arial"/>
        </w:rPr>
      </w:pPr>
    </w:p>
    <w:p w:rsidR="002A60C8" w:rsidRPr="004223E5" w:rsidRDefault="002A60C8" w:rsidP="002A60C8">
      <w:pPr>
        <w:ind w:right="283"/>
        <w:jc w:val="both"/>
        <w:rPr>
          <w:rFonts w:cs="Arial"/>
        </w:rPr>
      </w:pPr>
      <w:r w:rsidRPr="004223E5">
        <w:rPr>
          <w:rFonts w:cs="Arial"/>
        </w:rPr>
        <w:t>Im Übrigen stützt sich die Entscheidung auf die im Spruch angeführten Bestimmungen.</w:t>
      </w:r>
    </w:p>
    <w:p w:rsidR="002A60C8" w:rsidRPr="004223E5" w:rsidRDefault="002A60C8" w:rsidP="002A60C8">
      <w:pPr>
        <w:ind w:right="283"/>
        <w:jc w:val="both"/>
        <w:rPr>
          <w:rFonts w:cs="Arial"/>
        </w:rPr>
      </w:pPr>
    </w:p>
    <w:p w:rsidR="002A60C8" w:rsidRDefault="002A60C8" w:rsidP="002A60C8">
      <w:pPr>
        <w:ind w:right="283"/>
        <w:jc w:val="both"/>
        <w:outlineLvl w:val="0"/>
        <w:rPr>
          <w:rFonts w:cs="Arial"/>
        </w:rPr>
      </w:pPr>
      <w:r w:rsidRPr="004223E5">
        <w:rPr>
          <w:rFonts w:cs="Arial"/>
        </w:rPr>
        <w:t>Es war daher spruchgemäß zu entscheiden.</w:t>
      </w:r>
    </w:p>
    <w:p w:rsidR="002A60C8" w:rsidRDefault="002A60C8" w:rsidP="002A60C8">
      <w:pPr>
        <w:ind w:right="283"/>
        <w:jc w:val="both"/>
        <w:outlineLvl w:val="0"/>
        <w:rPr>
          <w:rFonts w:cs="Arial"/>
        </w:rPr>
      </w:pPr>
    </w:p>
    <w:p w:rsidR="002A60C8" w:rsidRDefault="002A60C8" w:rsidP="002A60C8">
      <w:pPr>
        <w:ind w:right="283"/>
        <w:jc w:val="both"/>
        <w:outlineLvl w:val="0"/>
        <w:rPr>
          <w:lang w:val="de-AT"/>
        </w:rPr>
      </w:pPr>
    </w:p>
    <w:p w:rsidR="002A60C8" w:rsidRDefault="002A60C8" w:rsidP="002A60C8">
      <w:pPr>
        <w:pStyle w:val="StandardGrund"/>
        <w:tabs>
          <w:tab w:val="clear" w:pos="4537"/>
          <w:tab w:val="clear" w:pos="8505"/>
        </w:tabs>
        <w:jc w:val="center"/>
        <w:rPr>
          <w:lang w:val="de-AT"/>
        </w:rPr>
      </w:pPr>
      <w:r>
        <w:rPr>
          <w:lang w:val="de-AT"/>
        </w:rPr>
        <w:t>Der Bürgermeister :</w:t>
      </w:r>
    </w:p>
    <w:p w:rsidR="002A60C8" w:rsidRDefault="002A60C8" w:rsidP="002A60C8">
      <w:pPr>
        <w:pStyle w:val="StandardGrund"/>
        <w:tabs>
          <w:tab w:val="clear" w:pos="4537"/>
          <w:tab w:val="clear" w:pos="8505"/>
        </w:tabs>
        <w:jc w:val="left"/>
        <w:rPr>
          <w:lang w:val="de-AT"/>
        </w:rPr>
      </w:pPr>
    </w:p>
    <w:p w:rsidR="002A60C8" w:rsidRDefault="002A60C8" w:rsidP="002A60C8">
      <w:pPr>
        <w:pStyle w:val="StandardGrund"/>
        <w:tabs>
          <w:tab w:val="clear" w:pos="4537"/>
          <w:tab w:val="clear" w:pos="8505"/>
        </w:tabs>
        <w:jc w:val="left"/>
        <w:rPr>
          <w:lang w:val="de-AT"/>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Default="002A60C8" w:rsidP="002A60C8">
      <w:pPr>
        <w:tabs>
          <w:tab w:val="left" w:pos="7371"/>
          <w:tab w:val="decimal" w:pos="8505"/>
          <w:tab w:val="right" w:pos="8931"/>
        </w:tabs>
        <w:jc w:val="both"/>
        <w:rPr>
          <w:b/>
          <w:bCs/>
          <w:sz w:val="20"/>
          <w:u w:val="single"/>
        </w:rPr>
      </w:pPr>
    </w:p>
    <w:p w:rsidR="002A60C8" w:rsidRPr="004223E5" w:rsidRDefault="002A60C8" w:rsidP="002A60C8">
      <w:pPr>
        <w:tabs>
          <w:tab w:val="left" w:pos="7371"/>
          <w:tab w:val="decimal" w:pos="8505"/>
          <w:tab w:val="right" w:pos="8931"/>
        </w:tabs>
        <w:jc w:val="both"/>
        <w:rPr>
          <w:b/>
          <w:bCs/>
          <w:sz w:val="20"/>
          <w:u w:val="single"/>
        </w:rPr>
      </w:pPr>
      <w:r w:rsidRPr="004223E5">
        <w:rPr>
          <w:b/>
          <w:bCs/>
          <w:sz w:val="20"/>
          <w:u w:val="single"/>
        </w:rPr>
        <w:t>Ergeht an:</w:t>
      </w:r>
    </w:p>
    <w:p w:rsidR="002A60C8" w:rsidRPr="004223E5" w:rsidRDefault="002A60C8" w:rsidP="002A60C8">
      <w:pPr>
        <w:pStyle w:val="Tabellentext"/>
      </w:pPr>
    </w:p>
    <w:p w:rsidR="002A60C8" w:rsidRPr="004223E5" w:rsidRDefault="002A60C8" w:rsidP="002A60C8">
      <w:pPr>
        <w:pStyle w:val="Tabellentext"/>
      </w:pPr>
    </w:p>
    <w:p w:rsidR="002A60C8" w:rsidRPr="003024F1" w:rsidRDefault="002A60C8" w:rsidP="002A60C8">
      <w:pPr>
        <w:pStyle w:val="Tabellentext"/>
        <w:numPr>
          <w:ilvl w:val="0"/>
          <w:numId w:val="3"/>
        </w:numPr>
      </w:pPr>
      <w:r w:rsidRPr="003024F1">
        <w:rPr>
          <w:rFonts w:cs="Arial"/>
        </w:rPr>
        <w:t xml:space="preserve">Fa. </w:t>
      </w:r>
      <w:r>
        <w:rPr>
          <w:rFonts w:cs="Arial"/>
        </w:rPr>
        <w:t>XY</w:t>
      </w:r>
      <w:r w:rsidRPr="003024F1">
        <w:rPr>
          <w:rFonts w:cs="Arial"/>
        </w:rPr>
        <w:t xml:space="preserve">, </w:t>
      </w:r>
      <w:r w:rsidRPr="003024F1">
        <w:t>RSb</w:t>
      </w:r>
    </w:p>
    <w:p w:rsidR="002A60C8" w:rsidRPr="004223E5" w:rsidRDefault="002A60C8" w:rsidP="002A60C8">
      <w:pPr>
        <w:pStyle w:val="Tabellentext"/>
      </w:pPr>
    </w:p>
    <w:p w:rsidR="002A60C8" w:rsidRPr="004223E5" w:rsidRDefault="002A60C8" w:rsidP="002A60C8">
      <w:pPr>
        <w:pStyle w:val="Tabellentext"/>
        <w:numPr>
          <w:ilvl w:val="0"/>
          <w:numId w:val="3"/>
        </w:numPr>
      </w:pPr>
      <w:r w:rsidRPr="004223E5">
        <w:t>Tiroler Landesstelle für Brandverhütung, Sterzinger Straße 2, 6020 Innsbruck</w:t>
      </w:r>
    </w:p>
    <w:p w:rsidR="002A60C8" w:rsidRPr="004223E5" w:rsidRDefault="002A60C8" w:rsidP="002A60C8">
      <w:pPr>
        <w:pStyle w:val="Tabellentext"/>
        <w:numPr>
          <w:ilvl w:val="0"/>
          <w:numId w:val="3"/>
        </w:numPr>
      </w:pPr>
      <w:r>
        <w:t xml:space="preserve">Herrn </w:t>
      </w:r>
      <w:r w:rsidRPr="004223E5">
        <w:t xml:space="preserve">Ortsfeuerwehrkommandanten </w:t>
      </w:r>
      <w:r>
        <w:t>XY</w:t>
      </w:r>
      <w:r w:rsidRPr="004223E5">
        <w:t>, im Hause</w:t>
      </w:r>
    </w:p>
    <w:p w:rsidR="002A60C8" w:rsidRDefault="002A60C8" w:rsidP="002A60C8">
      <w:pPr>
        <w:pStyle w:val="Tabellentext"/>
        <w:numPr>
          <w:ilvl w:val="0"/>
          <w:numId w:val="3"/>
        </w:numPr>
      </w:pPr>
      <w:r w:rsidRPr="004223E5">
        <w:t xml:space="preserve">Herrn </w:t>
      </w:r>
      <w:r>
        <w:t>Bezirksr</w:t>
      </w:r>
      <w:r w:rsidRPr="004223E5">
        <w:t xml:space="preserve">auchfangkehrermeister </w:t>
      </w:r>
      <w:r>
        <w:t>XY</w:t>
      </w:r>
    </w:p>
    <w:p w:rsidR="002A60C8" w:rsidRDefault="002A60C8" w:rsidP="002A60C8">
      <w:pPr>
        <w:pStyle w:val="Tabellentext"/>
        <w:numPr>
          <w:ilvl w:val="0"/>
          <w:numId w:val="3"/>
        </w:numPr>
      </w:pPr>
      <w:r>
        <w:t>BH Innsbruck, Gewerbereferat, zur Kenntnis</w:t>
      </w:r>
    </w:p>
    <w:p w:rsidR="002A60C8" w:rsidRPr="004223E5" w:rsidRDefault="002A60C8" w:rsidP="002A60C8">
      <w:pPr>
        <w:pStyle w:val="Tabellentext"/>
        <w:numPr>
          <w:ilvl w:val="0"/>
          <w:numId w:val="3"/>
        </w:numPr>
      </w:pPr>
      <w:r w:rsidRPr="004223E5">
        <w:lastRenderedPageBreak/>
        <w:t>Akt 131-0 (Bauakt)</w:t>
      </w:r>
    </w:p>
    <w:p w:rsidR="002A60C8" w:rsidRPr="004223E5" w:rsidRDefault="002A60C8" w:rsidP="002A60C8">
      <w:pPr>
        <w:pStyle w:val="Tabellentext"/>
        <w:numPr>
          <w:ilvl w:val="0"/>
          <w:numId w:val="3"/>
        </w:numPr>
      </w:pPr>
      <w:r w:rsidRPr="004223E5">
        <w:t>Akt 131-4 (Akt TFPO)</w:t>
      </w:r>
    </w:p>
    <w:p w:rsidR="007E18D2" w:rsidRDefault="007E18D2"/>
    <w:sectPr w:rsidR="007E18D2" w:rsidSect="00C64844">
      <w:footerReference w:type="even" r:id="rId7"/>
      <w:footerReference w:type="default" r:id="rId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3319">
      <w:r>
        <w:separator/>
      </w:r>
    </w:p>
  </w:endnote>
  <w:endnote w:type="continuationSeparator" w:id="0">
    <w:p w:rsidR="00000000" w:rsidRDefault="00C5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71" w:rsidRDefault="002A60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07371" w:rsidRDefault="00C533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71" w:rsidRDefault="002A60C8">
    <w:pPr>
      <w:pStyle w:val="Fuzeile"/>
      <w:jc w:val="right"/>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C53319">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3319">
      <w:r>
        <w:separator/>
      </w:r>
    </w:p>
  </w:footnote>
  <w:footnote w:type="continuationSeparator" w:id="0">
    <w:p w:rsidR="00000000" w:rsidRDefault="00C5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16A"/>
    <w:multiLevelType w:val="hybridMultilevel"/>
    <w:tmpl w:val="9AFEB1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0A3FAA"/>
    <w:multiLevelType w:val="hybridMultilevel"/>
    <w:tmpl w:val="20A0E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CD42CC"/>
    <w:multiLevelType w:val="hybridMultilevel"/>
    <w:tmpl w:val="BE18216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C8"/>
    <w:rsid w:val="002A60C8"/>
    <w:rsid w:val="007E18D2"/>
    <w:rsid w:val="00C533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C40A-218B-482F-B944-A07FF8DA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0C8"/>
    <w:pPr>
      <w:spacing w:after="0" w:line="240" w:lineRule="auto"/>
    </w:pPr>
    <w:rPr>
      <w:rFonts w:ascii="Arial" w:eastAsia="Times New Roman" w:hAnsi="Arial" w:cs="Times New Roman"/>
      <w:szCs w:val="20"/>
      <w:lang w:val="de-DE" w:eastAsia="de-DE"/>
    </w:rPr>
  </w:style>
  <w:style w:type="paragraph" w:styleId="berschrift2">
    <w:name w:val="heading 2"/>
    <w:basedOn w:val="Standard"/>
    <w:next w:val="Standard"/>
    <w:link w:val="berschrift2Zchn"/>
    <w:qFormat/>
    <w:rsid w:val="002A60C8"/>
    <w:pPr>
      <w:keepNext/>
      <w:jc w:val="center"/>
      <w:outlineLvl w:val="1"/>
    </w:pPr>
    <w:rPr>
      <w:b/>
      <w:bCs/>
      <w:u w:val="single"/>
    </w:rPr>
  </w:style>
  <w:style w:type="paragraph" w:styleId="berschrift5">
    <w:name w:val="heading 5"/>
    <w:basedOn w:val="Standard"/>
    <w:next w:val="Standard"/>
    <w:link w:val="berschrift5Zchn"/>
    <w:qFormat/>
    <w:rsid w:val="002A60C8"/>
    <w:pPr>
      <w:keepNext/>
      <w:tabs>
        <w:tab w:val="right" w:pos="8931"/>
      </w:tabs>
      <w:jc w:val="center"/>
      <w:outlineLvl w:val="4"/>
    </w:pPr>
    <w:rPr>
      <w:b/>
      <w:sz w:val="28"/>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60C8"/>
    <w:rPr>
      <w:rFonts w:ascii="Arial" w:eastAsia="Times New Roman" w:hAnsi="Arial" w:cs="Times New Roman"/>
      <w:b/>
      <w:bCs/>
      <w:szCs w:val="20"/>
      <w:u w:val="single"/>
      <w:lang w:val="de-DE" w:eastAsia="de-DE"/>
    </w:rPr>
  </w:style>
  <w:style w:type="character" w:customStyle="1" w:styleId="berschrift5Zchn">
    <w:name w:val="Überschrift 5 Zchn"/>
    <w:basedOn w:val="Absatz-Standardschriftart"/>
    <w:link w:val="berschrift5"/>
    <w:rsid w:val="002A60C8"/>
    <w:rPr>
      <w:rFonts w:ascii="Arial" w:eastAsia="Times New Roman" w:hAnsi="Arial" w:cs="Times New Roman"/>
      <w:b/>
      <w:sz w:val="28"/>
      <w:szCs w:val="20"/>
      <w:u w:val="single"/>
      <w:lang w:val="it-IT" w:eastAsia="de-DE"/>
    </w:rPr>
  </w:style>
  <w:style w:type="character" w:styleId="Seitenzahl">
    <w:name w:val="page number"/>
    <w:basedOn w:val="Absatz-Standardschriftart"/>
    <w:semiHidden/>
    <w:rsid w:val="002A60C8"/>
  </w:style>
  <w:style w:type="paragraph" w:customStyle="1" w:styleId="Tabellentext">
    <w:name w:val="Tabellentext"/>
    <w:basedOn w:val="Standard"/>
    <w:rsid w:val="002A60C8"/>
    <w:rPr>
      <w:sz w:val="20"/>
    </w:rPr>
  </w:style>
  <w:style w:type="paragraph" w:styleId="Fuzeile">
    <w:name w:val="footer"/>
    <w:basedOn w:val="Standard"/>
    <w:link w:val="FuzeileZchn"/>
    <w:semiHidden/>
    <w:rsid w:val="002A60C8"/>
    <w:pPr>
      <w:tabs>
        <w:tab w:val="center" w:pos="4536"/>
        <w:tab w:val="right" w:pos="9072"/>
      </w:tabs>
      <w:jc w:val="both"/>
    </w:pPr>
    <w:rPr>
      <w:sz w:val="20"/>
    </w:rPr>
  </w:style>
  <w:style w:type="character" w:customStyle="1" w:styleId="FuzeileZchn">
    <w:name w:val="Fußzeile Zchn"/>
    <w:basedOn w:val="Absatz-Standardschriftart"/>
    <w:link w:val="Fuzeile"/>
    <w:semiHidden/>
    <w:rsid w:val="002A60C8"/>
    <w:rPr>
      <w:rFonts w:ascii="Arial" w:eastAsia="Times New Roman" w:hAnsi="Arial" w:cs="Times New Roman"/>
      <w:sz w:val="20"/>
      <w:szCs w:val="20"/>
      <w:lang w:val="de-DE" w:eastAsia="de-DE"/>
    </w:rPr>
  </w:style>
  <w:style w:type="paragraph" w:customStyle="1" w:styleId="StandardGrund">
    <w:name w:val="Standard Grund"/>
    <w:basedOn w:val="Standard"/>
    <w:rsid w:val="002A60C8"/>
    <w:pPr>
      <w:tabs>
        <w:tab w:val="center" w:pos="4537"/>
        <w:tab w:val="right" w:pos="8505"/>
      </w:tabs>
      <w:jc w:val="both"/>
    </w:pPr>
  </w:style>
  <w:style w:type="paragraph" w:styleId="Textkrper">
    <w:name w:val="Body Text"/>
    <w:basedOn w:val="Standard"/>
    <w:link w:val="TextkrperZchn"/>
    <w:semiHidden/>
    <w:rsid w:val="002A60C8"/>
    <w:pPr>
      <w:jc w:val="both"/>
    </w:pPr>
    <w:rPr>
      <w:u w:val="single"/>
    </w:rPr>
  </w:style>
  <w:style w:type="character" w:customStyle="1" w:styleId="TextkrperZchn">
    <w:name w:val="Textkörper Zchn"/>
    <w:basedOn w:val="Absatz-Standardschriftart"/>
    <w:link w:val="Textkrper"/>
    <w:semiHidden/>
    <w:rsid w:val="002A60C8"/>
    <w:rPr>
      <w:rFonts w:ascii="Arial" w:eastAsia="Times New Roman" w:hAnsi="Arial" w:cs="Times New Roman"/>
      <w:szCs w:val="20"/>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4904</Characters>
  <Application>Microsoft Office Word</Application>
  <DocSecurity>0</DocSecurity>
  <Lines>40</Lines>
  <Paragraphs>11</Paragraphs>
  <ScaleCrop>false</ScaleCrop>
  <Company>Gde Inzing</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dc:description/>
  <cp:lastModifiedBy>MGT / Martin Wanner</cp:lastModifiedBy>
  <cp:revision>2</cp:revision>
  <dcterms:created xsi:type="dcterms:W3CDTF">2015-02-17T06:41:00Z</dcterms:created>
  <dcterms:modified xsi:type="dcterms:W3CDTF">2021-05-20T14:38:00Z</dcterms:modified>
</cp:coreProperties>
</file>